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120" w:before="0"/>
      </w:pPr>
      <w:r>
        <w:rPr>
          <w:rFonts w:ascii="Calibri" w:cs="Calibri" w:eastAsia="Calibri" w:hAnsi="Calibri"/>
          <w:b/>
          <w:bCs/>
          <w:color w:val="1F3864"/>
          <w:sz w:val="40"/>
          <w:szCs w:val="40"/>
        </w:rPr>
        <w:t xml:space="preserve">MarketStats (InfoSparks &amp; FastStats) — Now Live</w:t>
      </w:r>
    </w:p>
    <w:p>
      <w:pPr>
        <w:spacing w:after="200"/>
      </w:pPr>
    </w:p>
    <w:tbl>
      <w:tblPr>
        <w:tblW w:type="dxa" w:w="9360"/>
        <w:tblBorders>
          <w:top w:val="single" w:color="C9D1E0" w:sz="4"/>
          <w:left w:val="none" w:color="FFFFFF" w:sz="0"/>
          <w:bottom w:val="single" w:color="C9D1E0" w:sz="4"/>
          <w:right w:val="none" w:color="FFFFFF" w:sz="0"/>
          <w:insideH w:val="single" w:color="C9D1E0" w:sz="4"/>
          <w:insideV w:val="none" w:color="FFFFFF" w:sz="0"/>
        </w:tblBorders>
      </w:tblPr>
      <w:tblGrid>
        <w:gridCol w:w="2200"/>
        <w:gridCol w:w="7160"/>
      </w:tblGrid>
      <w:tr>
        <w:tc>
          <w:tcPr>
            <w:tcW w:type="dxa" w:w="2200"/>
            <w:tcMar>
              <w:top w:type="dxa" w:w="80"/>
              <w:left w:type="dxa" w:w="0"/>
              <w:bottom w:type="dxa" w:w="80"/>
              <w:right w:type="dxa" w:w="120"/>
            </w:tcMar>
          </w:tcPr>
          <w:p>
            <w:pPr>
              <w:spacing w:after="0" w:line="264"/>
            </w:pPr>
            <w:r>
              <w:rPr>
                <w:rFonts w:ascii="Calibri" w:cs="Calibri" w:eastAsia="Calibri" w:hAnsi="Calibri"/>
                <w:b/>
                <w:bCs/>
                <w:i w:val="false"/>
                <w:iCs w:val="false"/>
                <w:color w:val="44546A"/>
                <w:sz w:val="21"/>
                <w:szCs w:val="21"/>
              </w:rPr>
              <w:t xml:space="preserve">Product</w:t>
            </w:r>
          </w:p>
        </w:tc>
        <w:tc>
          <w:tcPr>
            <w:tcW w:type="dxa" w:w="7160"/>
            <w:tcMar>
              <w:top w:type="dxa" w:w="80"/>
              <w:left w:type="dxa" w:w="0"/>
              <w:bottom w:type="dxa" w:w="80"/>
              <w:right w:type="dxa" w:w="0"/>
            </w:tcMar>
          </w:tcPr>
          <w:p>
            <w:pPr>
              <w:spacing w:after="0" w:line="264"/>
            </w:pPr>
            <w:r>
              <w:rPr>
                <w:rFonts w:ascii="Calibri" w:cs="Calibri" w:eastAsia="Calibri" w:hAnsi="Calibri"/>
                <w:b w:val="false"/>
                <w:bCs w:val="false"/>
                <w:i w:val="false"/>
                <w:iCs w:val="false"/>
                <w:sz w:val="21"/>
                <w:szCs w:val="21"/>
              </w:rPr>
              <w:t xml:space="preserve">MarketStats — powered by ShowingTime</w:t>
            </w:r>
          </w:p>
        </w:tc>
      </w:tr>
      <w:tr>
        <w:tc>
          <w:tcPr>
            <w:tcW w:type="dxa" w:w="2200"/>
            <w:tcMar>
              <w:top w:type="dxa" w:w="80"/>
              <w:left w:type="dxa" w:w="0"/>
              <w:bottom w:type="dxa" w:w="80"/>
              <w:right w:type="dxa" w:w="120"/>
            </w:tcMar>
          </w:tcPr>
          <w:p>
            <w:pPr>
              <w:spacing w:after="0" w:line="264"/>
            </w:pPr>
            <w:r>
              <w:rPr>
                <w:rFonts w:ascii="Calibri" w:cs="Calibri" w:eastAsia="Calibri" w:hAnsi="Calibri"/>
                <w:b/>
                <w:bCs/>
                <w:i w:val="false"/>
                <w:iCs w:val="false"/>
                <w:color w:val="44546A"/>
                <w:sz w:val="21"/>
                <w:szCs w:val="21"/>
              </w:rPr>
              <w:t xml:space="preserve">Release date</w:t>
            </w:r>
          </w:p>
        </w:tc>
        <w:tc>
          <w:tcPr>
            <w:tcW w:type="dxa" w:w="7160"/>
            <w:tcMar>
              <w:top w:type="dxa" w:w="80"/>
              <w:left w:type="dxa" w:w="0"/>
              <w:bottom w:type="dxa" w:w="80"/>
              <w:right w:type="dxa" w:w="0"/>
            </w:tcMar>
          </w:tcPr>
          <w:p>
            <w:pPr>
              <w:spacing w:after="0" w:line="264"/>
            </w:pPr>
            <w:r>
              <w:rPr>
                <w:rFonts w:ascii="Calibri" w:cs="Calibri" w:eastAsia="Calibri" w:hAnsi="Calibri"/>
                <w:b w:val="false"/>
                <w:bCs w:val="false"/>
                <w:i w:val="false"/>
                <w:iCs w:val="false"/>
                <w:sz w:val="21"/>
                <w:szCs w:val="21"/>
              </w:rPr>
              <w:t xml:space="preserve">Live the evening of Tuesday, September 8, 2026 — available to all members the morning of Wednesday, September 9, 2026</w:t>
            </w:r>
          </w:p>
        </w:tc>
      </w:tr>
      <w:tr>
        <w:tc>
          <w:tcPr>
            <w:tcW w:type="dxa" w:w="2200"/>
            <w:tcMar>
              <w:top w:type="dxa" w:w="80"/>
              <w:left w:type="dxa" w:w="0"/>
              <w:bottom w:type="dxa" w:w="80"/>
              <w:right w:type="dxa" w:w="120"/>
            </w:tcMar>
          </w:tcPr>
          <w:p>
            <w:pPr>
              <w:spacing w:after="0" w:line="264"/>
            </w:pPr>
            <w:r>
              <w:rPr>
                <w:rFonts w:ascii="Calibri" w:cs="Calibri" w:eastAsia="Calibri" w:hAnsi="Calibri"/>
                <w:b/>
                <w:bCs/>
                <w:i w:val="false"/>
                <w:iCs w:val="false"/>
                <w:color w:val="44546A"/>
                <w:sz w:val="21"/>
                <w:szCs w:val="21"/>
              </w:rPr>
              <w:t xml:space="preserve">Systems affected</w:t>
            </w:r>
          </w:p>
        </w:tc>
        <w:tc>
          <w:tcPr>
            <w:tcW w:type="dxa" w:w="7160"/>
            <w:tcMar>
              <w:top w:type="dxa" w:w="80"/>
              <w:left w:type="dxa" w:w="0"/>
              <w:bottom w:type="dxa" w:w="80"/>
              <w:right w:type="dxa" w:w="0"/>
            </w:tcMar>
          </w:tcPr>
          <w:p>
            <w:pPr>
              <w:spacing w:after="0" w:line="264"/>
            </w:pPr>
            <w:r>
              <w:rPr>
                <w:rFonts w:ascii="Calibri" w:cs="Calibri" w:eastAsia="Calibri" w:hAnsi="Calibri"/>
                <w:b w:val="false"/>
                <w:bCs w:val="false"/>
                <w:i w:val="false"/>
                <w:iCs w:val="false"/>
                <w:sz w:val="21"/>
                <w:szCs w:val="21"/>
              </w:rPr>
              <w:t xml:space="preserve">Stellar Central, Matrix</w:t>
            </w:r>
          </w:p>
        </w:tc>
      </w:tr>
      <w:tr>
        <w:tc>
          <w:tcPr>
            <w:tcW w:type="dxa" w:w="2200"/>
            <w:tcMar>
              <w:top w:type="dxa" w:w="80"/>
              <w:left w:type="dxa" w:w="0"/>
              <w:bottom w:type="dxa" w:w="80"/>
              <w:right w:type="dxa" w:w="120"/>
            </w:tcMar>
          </w:tcPr>
          <w:p>
            <w:pPr>
              <w:spacing w:after="0" w:line="264"/>
            </w:pPr>
            <w:r>
              <w:rPr>
                <w:rFonts w:ascii="Calibri" w:cs="Calibri" w:eastAsia="Calibri" w:hAnsi="Calibri"/>
                <w:b/>
                <w:bCs/>
                <w:i w:val="false"/>
                <w:iCs w:val="false"/>
                <w:color w:val="44546A"/>
                <w:sz w:val="21"/>
                <w:szCs w:val="21"/>
              </w:rPr>
              <w:t xml:space="preserve">Downtime</w:t>
            </w:r>
          </w:p>
        </w:tc>
        <w:tc>
          <w:tcPr>
            <w:tcW w:type="dxa" w:w="7160"/>
            <w:tcMar>
              <w:top w:type="dxa" w:w="80"/>
              <w:left w:type="dxa" w:w="0"/>
              <w:bottom w:type="dxa" w:w="80"/>
              <w:right w:type="dxa" w:w="0"/>
            </w:tcMar>
          </w:tcPr>
          <w:p>
            <w:pPr>
              <w:spacing w:after="0" w:line="264"/>
            </w:pPr>
            <w:r>
              <w:rPr>
                <w:rFonts w:ascii="Calibri" w:cs="Calibri" w:eastAsia="Calibri" w:hAnsi="Calibri"/>
                <w:b w:val="false"/>
                <w:bCs w:val="false"/>
                <w:i w:val="false"/>
                <w:iCs w:val="false"/>
                <w:sz w:val="21"/>
                <w:szCs w:val="21"/>
              </w:rPr>
              <w:t xml:space="preserve">None</w:t>
            </w:r>
          </w:p>
        </w:tc>
      </w:tr>
      <w:tr>
        <w:tc>
          <w:tcPr>
            <w:tcW w:type="dxa" w:w="2200"/>
            <w:tcMar>
              <w:top w:type="dxa" w:w="80"/>
              <w:left w:type="dxa" w:w="0"/>
              <w:bottom w:type="dxa" w:w="80"/>
              <w:right w:type="dxa" w:w="120"/>
            </w:tcMar>
          </w:tcPr>
          <w:p>
            <w:pPr>
              <w:spacing w:after="0" w:line="264"/>
            </w:pPr>
            <w:r>
              <w:rPr>
                <w:rFonts w:ascii="Calibri" w:cs="Calibri" w:eastAsia="Calibri" w:hAnsi="Calibri"/>
                <w:b/>
                <w:bCs/>
                <w:i w:val="false"/>
                <w:iCs w:val="false"/>
                <w:color w:val="44546A"/>
                <w:sz w:val="21"/>
                <w:szCs w:val="21"/>
              </w:rPr>
              <w:t xml:space="preserve">Status</w:t>
            </w:r>
          </w:p>
        </w:tc>
        <w:tc>
          <w:tcPr>
            <w:tcW w:type="dxa" w:w="7160"/>
            <w:tcMar>
              <w:top w:type="dxa" w:w="80"/>
              <w:left w:type="dxa" w:w="0"/>
              <w:bottom w:type="dxa" w:w="80"/>
              <w:right w:type="dxa" w:w="0"/>
            </w:tcMar>
          </w:tcPr>
          <w:p>
            <w:pPr>
              <w:spacing w:after="0" w:line="264"/>
            </w:pPr>
            <w:r>
              <w:rPr>
                <w:rFonts w:ascii="Calibri" w:cs="Calibri" w:eastAsia="Calibri" w:hAnsi="Calibri"/>
                <w:b w:val="false"/>
                <w:bCs w:val="false"/>
                <w:i w:val="false"/>
                <w:iCs w:val="false"/>
                <w:sz w:val="21"/>
                <w:szCs w:val="21"/>
              </w:rPr>
              <w:t xml:space="preserve">Live in production</w:t>
            </w:r>
          </w:p>
        </w:tc>
      </w:tr>
    </w:tbl>
    <w:p>
      <w:pPr>
        <w:spacing w:after="120"/>
      </w:pPr>
    </w:p>
    <w:p>
      <w:pPr>
        <w:pStyle w:val="Heading2"/>
        <w:pBdr>
          <w:bottom w:val="single" w:color="C9D1E0" w:sz="6" w:space="6"/>
        </w:pBdr>
        <w:spacing w:after="140" w:before="320"/>
      </w:pPr>
      <w:r>
        <w:rPr>
          <w:rFonts w:ascii="Calibri" w:cs="Calibri" w:eastAsia="Calibri" w:hAnsi="Calibri"/>
          <w:b/>
          <w:bCs/>
          <w:color w:val="1F3864"/>
          <w:sz w:val="26"/>
          <w:szCs w:val="26"/>
        </w:rPr>
        <w:t xml:space="preserve">What's New</w:t>
      </w:r>
    </w:p>
    <w:p>
      <w:pPr>
        <w:spacing w:after="140" w:line="264"/>
      </w:pPr>
      <w:r>
        <w:rPr>
          <w:rFonts w:ascii="Calibri" w:cs="Calibri" w:eastAsia="Calibri" w:hAnsi="Calibri"/>
          <w:b/>
          <w:bCs/>
          <w:i w:val="false"/>
          <w:iCs w:val="false"/>
          <w:sz w:val="21"/>
          <w:szCs w:val="21"/>
        </w:rPr>
        <w:t xml:space="preserve">MarketStats is here.</w:t>
      </w:r>
      <w:r>
        <w:rPr>
          <w:rFonts w:ascii="Calibri" w:cs="Calibri" w:eastAsia="Calibri" w:hAnsi="Calibri"/>
          <w:b w:val="false"/>
          <w:bCs w:val="false"/>
          <w:i w:val="false"/>
          <w:iCs w:val="false"/>
          <w:sz w:val="21"/>
          <w:szCs w:val="21"/>
        </w:rPr>
        <w:t xml:space="preserve"> Stellar MLS has launched MarketStats, the ShowingTime market statistics suite, to all members. MarketStats includes two tools:</w:t>
      </w:r>
    </w:p>
    <w:p>
      <w:pPr>
        <w:pStyle w:val="ListParagraph"/>
        <w:numPr>
          <w:ilvl w:val="0"/>
          <w:numId w:val="2"/>
        </w:numPr>
        <w:spacing w:after="90" w:line="264"/>
      </w:pPr>
      <w:r>
        <w:rPr>
          <w:rFonts w:ascii="Calibri" w:cs="Calibri" w:eastAsia="Calibri" w:hAnsi="Calibri"/>
          <w:b/>
          <w:bCs/>
          <w:i w:val="false"/>
          <w:iCs w:val="false"/>
          <w:sz w:val="21"/>
          <w:szCs w:val="21"/>
        </w:rPr>
        <w:t xml:space="preserve">InfoSparks</w:t>
      </w:r>
      <w:r>
        <w:rPr>
          <w:rFonts w:ascii="Calibri" w:cs="Calibri" w:eastAsia="Calibri" w:hAnsi="Calibri"/>
          <w:b w:val="false"/>
          <w:bCs w:val="false"/>
          <w:i w:val="false"/>
          <w:iCs w:val="false"/>
          <w:sz w:val="21"/>
          <w:szCs w:val="21"/>
        </w:rPr>
        <w:t xml:space="preserve"> — an interactive market-analysis tool for exploring trends, comparisons, charts, and maps. Compare up to four geographies at once across a wide range of housing variables, market metrics, and time periods. Filter by property type, price range, bedrooms, bathrooms, square footage, lot size, and more. Brand charts with your name, headshot, company, and contact information, then share them with clients, embed them on your website or blog, or post them to social media. Embedded charts stay up to date automatically.</w:t>
      </w:r>
    </w:p>
    <w:p>
      <w:pPr>
        <w:pStyle w:val="ListParagraph"/>
        <w:numPr>
          <w:ilvl w:val="0"/>
          <w:numId w:val="2"/>
        </w:numPr>
        <w:spacing w:after="90" w:line="264"/>
      </w:pPr>
      <w:r>
        <w:rPr>
          <w:rFonts w:ascii="Calibri" w:cs="Calibri" w:eastAsia="Calibri" w:hAnsi="Calibri"/>
          <w:b/>
          <w:bCs/>
          <w:i w:val="false"/>
          <w:iCs w:val="false"/>
          <w:sz w:val="21"/>
          <w:szCs w:val="21"/>
        </w:rPr>
        <w:t xml:space="preserve">FastStats</w:t>
      </w:r>
      <w:r>
        <w:rPr>
          <w:rFonts w:ascii="Calibri" w:cs="Calibri" w:eastAsia="Calibri" w:hAnsi="Calibri"/>
          <w:b w:val="false"/>
          <w:bCs w:val="false"/>
          <w:i w:val="false"/>
          <w:iCs w:val="false"/>
          <w:sz w:val="21"/>
          <w:szCs w:val="21"/>
        </w:rPr>
        <w:t xml:space="preserve"> — ready-to-use monthly market reports and data summaries, prepared for you and posted to your FastStats interface each month.</w:t>
      </w:r>
    </w:p>
    <w:p>
      <w:pPr>
        <w:spacing w:after="60" w:line="264"/>
      </w:pPr>
      <w:r>
        <w:rPr>
          <w:rFonts w:ascii="Calibri" w:cs="Calibri" w:eastAsia="Calibri" w:hAnsi="Calibri"/>
          <w:sz w:val="21"/>
          <w:szCs w:val="21"/>
        </w:rPr>
        <w:t xml:space="preserve">MarketStats replaces SmartCharts, which was sunset the same evening.</w:t>
      </w:r>
    </w:p>
    <w:p>
      <w:pPr>
        <w:pStyle w:val="Heading2"/>
        <w:pBdr>
          <w:bottom w:val="single" w:color="C9D1E0" w:sz="6" w:space="6"/>
        </w:pBdr>
        <w:spacing w:after="140" w:before="320"/>
      </w:pPr>
      <w:r>
        <w:rPr>
          <w:rFonts w:ascii="Calibri" w:cs="Calibri" w:eastAsia="Calibri" w:hAnsi="Calibri"/>
          <w:b/>
          <w:bCs/>
          <w:color w:val="1F3864"/>
          <w:sz w:val="26"/>
          <w:szCs w:val="26"/>
        </w:rPr>
        <w:t xml:space="preserve">How to Get In</w:t>
      </w:r>
    </w:p>
    <w:p>
      <w:pPr>
        <w:spacing w:after="140" w:line="264"/>
      </w:pPr>
      <w:r>
        <w:rPr>
          <w:rFonts w:ascii="Calibri" w:cs="Calibri" w:eastAsia="Calibri" w:hAnsi="Calibri"/>
          <w:b w:val="false"/>
          <w:bCs w:val="false"/>
          <w:i w:val="false"/>
          <w:iCs w:val="false"/>
          <w:sz w:val="21"/>
          <w:szCs w:val="21"/>
        </w:rPr>
        <w:t xml:space="preserve">Every entry point below is </w:t>
      </w:r>
      <w:r>
        <w:rPr>
          <w:rFonts w:ascii="Calibri" w:cs="Calibri" w:eastAsia="Calibri" w:hAnsi="Calibri"/>
          <w:b/>
          <w:bCs/>
          <w:i w:val="false"/>
          <w:iCs w:val="false"/>
          <w:sz w:val="21"/>
          <w:szCs w:val="21"/>
        </w:rPr>
        <w:t xml:space="preserve">single sign-on</w:t>
      </w:r>
      <w:r>
        <w:rPr>
          <w:rFonts w:ascii="Calibri" w:cs="Calibri" w:eastAsia="Calibri" w:hAnsi="Calibri"/>
          <w:b w:val="false"/>
          <w:bCs w:val="false"/>
          <w:i w:val="false"/>
          <w:iCs w:val="false"/>
          <w:sz w:val="21"/>
          <w:szCs w:val="21"/>
        </w:rPr>
        <w:t xml:space="preserve"> — you are already logged in, so there is no separate MarketStats username or password to create or remember.</w:t>
      </w:r>
    </w:p>
    <w:p>
      <w:pPr>
        <w:spacing w:after="100" w:line="264"/>
      </w:pPr>
      <w:r>
        <w:rPr>
          <w:rFonts w:ascii="Calibri" w:cs="Calibri" w:eastAsia="Calibri" w:hAnsi="Calibri"/>
          <w:b/>
          <w:bCs/>
          <w:i w:val="false"/>
          <w:iCs w:val="false"/>
          <w:sz w:val="21"/>
          <w:szCs w:val="21"/>
        </w:rPr>
        <w:t xml:space="preserve">Four ways to reach MarketStats:</w:t>
      </w:r>
    </w:p>
    <w:p>
      <w:pPr>
        <w:pStyle w:val="ListParagraph"/>
        <w:numPr>
          <w:ilvl w:val="0"/>
          <w:numId w:val="3"/>
        </w:numPr>
        <w:spacing w:after="90" w:line="264"/>
      </w:pPr>
      <w:r>
        <w:rPr>
          <w:rFonts w:ascii="Calibri" w:cs="Calibri" w:eastAsia="Calibri" w:hAnsi="Calibri"/>
          <w:b/>
          <w:bCs/>
          <w:i w:val="false"/>
          <w:iCs w:val="false"/>
          <w:sz w:val="21"/>
          <w:szCs w:val="21"/>
        </w:rPr>
        <w:t xml:space="preserve">Stellar Central</w:t>
      </w:r>
      <w:r>
        <w:rPr>
          <w:rFonts w:ascii="Calibri" w:cs="Calibri" w:eastAsia="Calibri" w:hAnsi="Calibri"/>
          <w:b w:val="false"/>
          <w:bCs w:val="false"/>
          <w:i w:val="false"/>
          <w:iCs w:val="false"/>
          <w:sz w:val="21"/>
          <w:szCs w:val="21"/>
        </w:rPr>
        <w:t xml:space="preserve"> — click the </w:t>
      </w:r>
      <w:r>
        <w:rPr>
          <w:rFonts w:ascii="Calibri" w:cs="Calibri" w:eastAsia="Calibri" w:hAnsi="Calibri"/>
          <w:b/>
          <w:bCs/>
          <w:i w:val="false"/>
          <w:iCs w:val="false"/>
          <w:sz w:val="21"/>
          <w:szCs w:val="21"/>
        </w:rPr>
        <w:t xml:space="preserve">MarketStats</w:t>
      </w:r>
      <w:r>
        <w:rPr>
          <w:rFonts w:ascii="Calibri" w:cs="Calibri" w:eastAsia="Calibri" w:hAnsi="Calibri"/>
          <w:b w:val="false"/>
          <w:bCs w:val="false"/>
          <w:i w:val="false"/>
          <w:iCs w:val="false"/>
          <w:sz w:val="21"/>
          <w:szCs w:val="21"/>
        </w:rPr>
        <w:t xml:space="preserve"> tile.</w:t>
      </w:r>
    </w:p>
    <w:p>
      <w:pPr>
        <w:pStyle w:val="ListParagraph"/>
        <w:numPr>
          <w:ilvl w:val="0"/>
          <w:numId w:val="3"/>
        </w:numPr>
        <w:spacing w:after="90" w:line="264"/>
      </w:pPr>
      <w:r>
        <w:rPr>
          <w:rFonts w:ascii="Calibri" w:cs="Calibri" w:eastAsia="Calibri" w:hAnsi="Calibri"/>
          <w:b/>
          <w:bCs/>
          <w:i w:val="false"/>
          <w:iCs w:val="false"/>
          <w:sz w:val="21"/>
          <w:szCs w:val="21"/>
        </w:rPr>
        <w:t xml:space="preserve">Matrix — External Links</w:t>
      </w:r>
      <w:r>
        <w:rPr>
          <w:rFonts w:ascii="Calibri" w:cs="Calibri" w:eastAsia="Calibri" w:hAnsi="Calibri"/>
          <w:b w:val="false"/>
          <w:bCs w:val="false"/>
          <w:i w:val="false"/>
          <w:iCs w:val="false"/>
          <w:sz w:val="21"/>
          <w:szCs w:val="21"/>
        </w:rPr>
        <w:t xml:space="preserve"> — select </w:t>
      </w:r>
      <w:r>
        <w:rPr>
          <w:rFonts w:ascii="Calibri" w:cs="Calibri" w:eastAsia="Calibri" w:hAnsi="Calibri"/>
          <w:b/>
          <w:bCs/>
          <w:i w:val="false"/>
          <w:iCs w:val="false"/>
          <w:sz w:val="21"/>
          <w:szCs w:val="21"/>
        </w:rPr>
        <w:t xml:space="preserve">MarketStats</w:t>
      </w:r>
      <w:r>
        <w:rPr>
          <w:rFonts w:ascii="Calibri" w:cs="Calibri" w:eastAsia="Calibri" w:hAnsi="Calibri"/>
          <w:b w:val="false"/>
          <w:bCs w:val="false"/>
          <w:i w:val="false"/>
          <w:iCs w:val="false"/>
          <w:sz w:val="21"/>
          <w:szCs w:val="21"/>
        </w:rPr>
        <w:t xml:space="preserve">.</w:t>
      </w:r>
    </w:p>
    <w:p>
      <w:pPr>
        <w:pStyle w:val="ListParagraph"/>
        <w:numPr>
          <w:ilvl w:val="0"/>
          <w:numId w:val="3"/>
        </w:numPr>
        <w:spacing w:after="90" w:line="264"/>
      </w:pPr>
      <w:r>
        <w:rPr>
          <w:rFonts w:ascii="Calibri" w:cs="Calibri" w:eastAsia="Calibri" w:hAnsi="Calibri"/>
          <w:b/>
          <w:bCs/>
          <w:i w:val="false"/>
          <w:iCs w:val="false"/>
          <w:sz w:val="21"/>
          <w:szCs w:val="21"/>
        </w:rPr>
        <w:t xml:space="preserve">Matrix — Links page</w:t>
      </w:r>
      <w:r>
        <w:rPr>
          <w:rFonts w:ascii="Calibri" w:cs="Calibri" w:eastAsia="Calibri" w:hAnsi="Calibri"/>
          <w:b w:val="false"/>
          <w:bCs w:val="false"/>
          <w:i w:val="false"/>
          <w:iCs w:val="false"/>
          <w:sz w:val="21"/>
          <w:szCs w:val="21"/>
        </w:rPr>
        <w:t xml:space="preserve"> — select </w:t>
      </w:r>
      <w:r>
        <w:rPr>
          <w:rFonts w:ascii="Calibri" w:cs="Calibri" w:eastAsia="Calibri" w:hAnsi="Calibri"/>
          <w:b/>
          <w:bCs/>
          <w:i w:val="false"/>
          <w:iCs w:val="false"/>
          <w:sz w:val="21"/>
          <w:szCs w:val="21"/>
        </w:rPr>
        <w:t xml:space="preserve">MarketStats</w:t>
      </w:r>
      <w:r>
        <w:rPr>
          <w:rFonts w:ascii="Calibri" w:cs="Calibri" w:eastAsia="Calibri" w:hAnsi="Calibri"/>
          <w:b w:val="false"/>
          <w:bCs w:val="false"/>
          <w:i w:val="false"/>
          <w:iCs w:val="false"/>
          <w:sz w:val="21"/>
          <w:szCs w:val="21"/>
        </w:rPr>
        <w:t xml:space="preserve">.</w:t>
      </w:r>
    </w:p>
    <w:p>
      <w:pPr>
        <w:pStyle w:val="ListParagraph"/>
        <w:numPr>
          <w:ilvl w:val="0"/>
          <w:numId w:val="3"/>
        </w:numPr>
        <w:spacing w:after="90" w:line="264"/>
      </w:pPr>
      <w:r>
        <w:rPr>
          <w:rFonts w:ascii="Calibri" w:cs="Calibri" w:eastAsia="Calibri" w:hAnsi="Calibri"/>
          <w:b/>
          <w:bCs/>
          <w:i w:val="false"/>
          <w:iCs w:val="false"/>
          <w:sz w:val="21"/>
          <w:szCs w:val="21"/>
        </w:rPr>
        <w:t xml:space="preserve">Matrix — listing-level shortcut</w:t>
      </w:r>
      <w:r>
        <w:rPr>
          <w:rFonts w:ascii="Calibri" w:cs="Calibri" w:eastAsia="Calibri" w:hAnsi="Calibri"/>
          <w:b w:val="false"/>
          <w:bCs w:val="false"/>
          <w:i w:val="false"/>
          <w:iCs w:val="false"/>
          <w:sz w:val="21"/>
          <w:szCs w:val="21"/>
        </w:rPr>
        <w:t xml:space="preserve"> — when you run a search, look for the small </w:t>
      </w:r>
      <w:r>
        <w:rPr>
          <w:rFonts w:ascii="Calibri" w:cs="Calibri" w:eastAsia="Calibri" w:hAnsi="Calibri"/>
          <w:b/>
          <w:bCs/>
          <w:i w:val="false"/>
          <w:iCs w:val="false"/>
          <w:sz w:val="21"/>
          <w:szCs w:val="21"/>
        </w:rPr>
        <w:t xml:space="preserve">MarketStats icon above each listing</w:t>
      </w:r>
      <w:r>
        <w:rPr>
          <w:rFonts w:ascii="Calibri" w:cs="Calibri" w:eastAsia="Calibri" w:hAnsi="Calibri"/>
          <w:b w:val="false"/>
          <w:bCs w:val="false"/>
          <w:i w:val="false"/>
          <w:iCs w:val="false"/>
          <w:sz w:val="21"/>
          <w:szCs w:val="21"/>
        </w:rPr>
        <w:t xml:space="preserve">.</w:t>
      </w:r>
    </w:p>
    <w:p>
      <w:pPr>
        <w:spacing w:after="140" w:before="160" w:line="264"/>
      </w:pPr>
      <w:r>
        <w:rPr>
          <w:rFonts w:ascii="Calibri" w:cs="Calibri" w:eastAsia="Calibri" w:hAnsi="Calibri"/>
          <w:b w:val="false"/>
          <w:bCs w:val="false"/>
          <w:i w:val="false"/>
          <w:iCs w:val="false"/>
          <w:sz w:val="21"/>
          <w:szCs w:val="21"/>
        </w:rPr>
        <w:t xml:space="preserve">The first three take you to the </w:t>
      </w:r>
      <w:r>
        <w:rPr>
          <w:rFonts w:ascii="Calibri" w:cs="Calibri" w:eastAsia="Calibri" w:hAnsi="Calibri"/>
          <w:b/>
          <w:bCs/>
          <w:i w:val="false"/>
          <w:iCs w:val="false"/>
          <w:sz w:val="21"/>
          <w:szCs w:val="21"/>
        </w:rPr>
        <w:t xml:space="preserve">InfoSparks home page with the entire MLS in scope</w:t>
      </w:r>
      <w:r>
        <w:rPr>
          <w:rFonts w:ascii="Calibri" w:cs="Calibri" w:eastAsia="Calibri" w:hAnsi="Calibri"/>
          <w:b w:val="false"/>
          <w:bCs w:val="false"/>
          <w:i w:val="false"/>
          <w:iCs w:val="false"/>
          <w:sz w:val="21"/>
          <w:szCs w:val="21"/>
        </w:rPr>
        <w:t xml:space="preserve">, so you can pick whatever geography you want to analyze.</w:t>
      </w:r>
    </w:p>
    <w:p>
      <w:pPr>
        <w:spacing w:after="60" w:line="264"/>
      </w:pPr>
      <w:r>
        <w:rPr>
          <w:rFonts w:ascii="Calibri" w:cs="Calibri" w:eastAsia="Calibri" w:hAnsi="Calibri"/>
          <w:b w:val="false"/>
          <w:bCs w:val="false"/>
          <w:i w:val="false"/>
          <w:iCs w:val="false"/>
          <w:sz w:val="21"/>
          <w:szCs w:val="21"/>
        </w:rPr>
        <w:t xml:space="preserve">The listing-level icon works differently, and it is the fastest way to pull market context for a property you are already looking at: </w:t>
      </w:r>
      <w:r>
        <w:rPr>
          <w:rFonts w:ascii="Calibri" w:cs="Calibri" w:eastAsia="Calibri" w:hAnsi="Calibri"/>
          <w:b/>
          <w:bCs/>
          <w:i w:val="false"/>
          <w:iCs w:val="false"/>
          <w:sz w:val="21"/>
          <w:szCs w:val="21"/>
        </w:rPr>
        <w:t xml:space="preserve">clicking it opens InfoSparks with that listing's location already selected</w:t>
      </w:r>
      <w:r>
        <w:rPr>
          <w:rFonts w:ascii="Calibri" w:cs="Calibri" w:eastAsia="Calibri" w:hAnsi="Calibri"/>
          <w:b w:val="false"/>
          <w:bCs w:val="false"/>
          <w:i w:val="false"/>
          <w:iCs w:val="false"/>
          <w:sz w:val="21"/>
          <w:szCs w:val="21"/>
        </w:rPr>
        <w:t xml:space="preserve">, rather than the full MLS. No searching, no filtering — you land on the market data for that listing's area.</w:t>
      </w:r>
    </w:p>
    <w:p>
      <w:pPr>
        <w:pStyle w:val="Heading2"/>
        <w:pBdr>
          <w:bottom w:val="single" w:color="C9D1E0" w:sz="6" w:space="6"/>
        </w:pBdr>
        <w:spacing w:after="140" w:before="320"/>
      </w:pPr>
      <w:r>
        <w:rPr>
          <w:rFonts w:ascii="Calibri" w:cs="Calibri" w:eastAsia="Calibri" w:hAnsi="Calibri"/>
          <w:b/>
          <w:bCs/>
          <w:color w:val="1F3864"/>
          <w:sz w:val="26"/>
          <w:szCs w:val="26"/>
        </w:rPr>
        <w:t xml:space="preserve">SmartCharts Has Been Retired</w:t>
      </w:r>
    </w:p>
    <w:p>
      <w:pPr>
        <w:spacing w:after="140" w:line="264"/>
      </w:pPr>
      <w:r>
        <w:rPr>
          <w:rFonts w:ascii="Calibri" w:cs="Calibri" w:eastAsia="Calibri" w:hAnsi="Calibri"/>
          <w:sz w:val="21"/>
          <w:szCs w:val="21"/>
        </w:rPr>
        <w:t xml:space="preserve">SmartCharts was sunset on the evening of September 8, 2026, at the same time MarketStats went live. SmartCharts logins have been disabled and the tool is no longer accessible.</w:t>
      </w:r>
    </w:p>
    <w:p>
      <w:pPr>
        <w:spacing w:after="140" w:line="264"/>
      </w:pPr>
      <w:r>
        <w:rPr>
          <w:rFonts w:ascii="Calibri" w:cs="Calibri" w:eastAsia="Calibri" w:hAnsi="Calibri"/>
          <w:sz w:val="21"/>
          <w:szCs w:val="21"/>
        </w:rPr>
        <w:t xml:space="preserve">The SmartCharts deeplink that previously appeared on the listing page has been replaced by the InfoSparks icon described above.</w:t>
      </w:r>
    </w:p>
    <w:p>
      <w:pPr>
        <w:spacing w:after="140" w:line="264"/>
      </w:pPr>
      <w:r>
        <w:rPr>
          <w:rFonts w:ascii="Calibri" w:cs="Calibri" w:eastAsia="Calibri" w:hAnsi="Calibri"/>
          <w:b/>
          <w:bCs/>
          <w:i w:val="false"/>
          <w:iCs w:val="false"/>
          <w:sz w:val="21"/>
          <w:szCs w:val="21"/>
        </w:rPr>
        <w:t xml:space="preserve">Moving from SmartCharts to InfoSparks — what changes:</w:t>
      </w:r>
    </w:p>
    <w:tbl>
      <w:tblPr>
        <w:tblW w:type="dxa" w:w="9360"/>
        <w:tblBorders>
          <w:top w:val="single" w:color="C9D1E0" w:sz="4"/>
          <w:left w:val="none" w:color="FFFFFF" w:sz="0"/>
          <w:bottom w:val="single" w:color="C9D1E0" w:sz="4"/>
          <w:right w:val="none" w:color="FFFFFF" w:sz="0"/>
          <w:insideH w:val="single" w:color="C9D1E0" w:sz="4"/>
          <w:insideV w:val="none" w:color="FFFFFF" w:sz="0"/>
        </w:tblBorders>
      </w:tblPr>
      <w:tblGrid>
        <w:gridCol w:w="2400"/>
        <w:gridCol w:w="3720"/>
        <w:gridCol w:w="3240"/>
      </w:tblGrid>
      <w:tr>
        <w:trPr>
          <w:tblHeader/>
        </w:trPr>
        <w:tc>
          <w:tcPr>
            <w:tcW w:type="dxa" w:w="2400"/>
            <w:shd w:fill="1F3864" w:color="auto" w:val="clear"/>
            <w:tcMar>
              <w:top w:type="dxa" w:w="90"/>
              <w:left w:type="dxa" w:w="120"/>
              <w:bottom w:type="dxa" w:w="90"/>
              <w:right w:type="dxa" w:w="120"/>
            </w:tcMar>
          </w:tcPr>
          <w:p>
            <w:pPr>
              <w:spacing w:after="0" w:line="264"/>
            </w:pPr>
            <w:r>
              <w:rPr>
                <w:rFonts w:ascii="Calibri" w:cs="Calibri" w:eastAsia="Calibri" w:hAnsi="Calibri"/>
                <w:b/>
                <w:bCs/>
                <w:color w:val="FFFFFF"/>
                <w:sz w:val="20"/>
                <w:szCs w:val="20"/>
              </w:rPr>
              <w:t xml:space="preserve"/>
            </w:r>
          </w:p>
        </w:tc>
        <w:tc>
          <w:tcPr>
            <w:tcW w:type="dxa" w:w="3720"/>
            <w:shd w:fill="1F3864" w:color="auto" w:val="clear"/>
            <w:tcMar>
              <w:top w:type="dxa" w:w="90"/>
              <w:left w:type="dxa" w:w="120"/>
              <w:bottom w:type="dxa" w:w="90"/>
              <w:right w:type="dxa" w:w="120"/>
            </w:tcMar>
          </w:tcPr>
          <w:p>
            <w:pPr>
              <w:spacing w:after="0" w:line="264"/>
            </w:pPr>
            <w:r>
              <w:rPr>
                <w:rFonts w:ascii="Calibri" w:cs="Calibri" w:eastAsia="Calibri" w:hAnsi="Calibri"/>
                <w:b/>
                <w:bCs/>
                <w:color w:val="FFFFFF"/>
                <w:sz w:val="20"/>
                <w:szCs w:val="20"/>
              </w:rPr>
              <w:t xml:space="preserve">InfoSparks</w:t>
            </w:r>
          </w:p>
        </w:tc>
        <w:tc>
          <w:tcPr>
            <w:tcW w:type="dxa" w:w="3240"/>
            <w:shd w:fill="1F3864" w:color="auto" w:val="clear"/>
            <w:tcMar>
              <w:top w:type="dxa" w:w="90"/>
              <w:left w:type="dxa" w:w="120"/>
              <w:bottom w:type="dxa" w:w="90"/>
              <w:right w:type="dxa" w:w="120"/>
            </w:tcMar>
          </w:tcPr>
          <w:p>
            <w:pPr>
              <w:spacing w:after="0" w:line="264"/>
            </w:pPr>
            <w:r>
              <w:rPr>
                <w:rFonts w:ascii="Calibri" w:cs="Calibri" w:eastAsia="Calibri" w:hAnsi="Calibri"/>
                <w:b/>
                <w:bCs/>
                <w:color w:val="FFFFFF"/>
                <w:sz w:val="20"/>
                <w:szCs w:val="20"/>
              </w:rPr>
              <w:t xml:space="preserve">SmartCharts (retired)</w:t>
            </w:r>
          </w:p>
        </w:tc>
      </w:tr>
      <w:tr>
        <w:tc>
          <w:tcPr>
            <w:tcW w:type="dxa" w:w="2400"/>
            <w:tcMar>
              <w:top w:type="dxa" w:w="90"/>
              <w:left w:type="dxa" w:w="120"/>
              <w:bottom w:type="dxa" w:w="90"/>
              <w:right w:type="dxa" w:w="120"/>
            </w:tcMar>
          </w:tcPr>
          <w:p>
            <w:pPr>
              <w:spacing w:after="0" w:line="264"/>
            </w:pPr>
            <w:r>
              <w:rPr>
                <w:rFonts w:ascii="Calibri" w:cs="Calibri" w:eastAsia="Calibri" w:hAnsi="Calibri"/>
                <w:b/>
                <w:bCs/>
                <w:sz w:val="20"/>
                <w:szCs w:val="20"/>
              </w:rPr>
              <w:t xml:space="preserve">Compare multiple areas</w:t>
            </w:r>
          </w:p>
        </w:tc>
        <w:tc>
          <w:tcPr>
            <w:tcW w:type="dxa" w:w="3720"/>
            <w:tcMar>
              <w:top w:type="dxa" w:w="90"/>
              <w:left w:type="dxa" w:w="120"/>
              <w:bottom w:type="dxa" w:w="90"/>
              <w:right w:type="dxa" w:w="120"/>
            </w:tcMar>
          </w:tcPr>
          <w:p>
            <w:pPr>
              <w:spacing w:after="0" w:line="264"/>
            </w:pPr>
            <w:r>
              <w:rPr>
                <w:rFonts w:ascii="Calibri" w:cs="Calibri" w:eastAsia="Calibri" w:hAnsi="Calibri"/>
                <w:b w:val="false"/>
                <w:bCs w:val="false"/>
                <w:sz w:val="20"/>
                <w:szCs w:val="20"/>
              </w:rPr>
              <w:t xml:space="preserve">Yes — up to 4 geographies side by side</w:t>
            </w:r>
          </w:p>
        </w:tc>
        <w:tc>
          <w:tcPr>
            <w:tcW w:type="dxa" w:w="3240"/>
            <w:tcMar>
              <w:top w:type="dxa" w:w="90"/>
              <w:left w:type="dxa" w:w="120"/>
              <w:bottom w:type="dxa" w:w="90"/>
              <w:right w:type="dxa" w:w="120"/>
            </w:tcMar>
          </w:tcPr>
          <w:p>
            <w:pPr>
              <w:spacing w:after="0" w:line="264"/>
            </w:pPr>
            <w:r>
              <w:rPr>
                <w:rFonts w:ascii="Calibri" w:cs="Calibri" w:eastAsia="Calibri" w:hAnsi="Calibri"/>
                <w:b w:val="false"/>
                <w:bCs w:val="false"/>
                <w:sz w:val="20"/>
                <w:szCs w:val="20"/>
              </w:rPr>
              <w:t xml:space="preserve">Dashboard-style, various locations</w:t>
            </w:r>
          </w:p>
        </w:tc>
      </w:tr>
      <w:tr>
        <w:tc>
          <w:tcPr>
            <w:tcW w:type="dxa" w:w="2400"/>
            <w:shd w:fill="F2F5FA" w:color="auto" w:val="clear"/>
            <w:tcMar>
              <w:top w:type="dxa" w:w="90"/>
              <w:left w:type="dxa" w:w="120"/>
              <w:bottom w:type="dxa" w:w="90"/>
              <w:right w:type="dxa" w:w="120"/>
            </w:tcMar>
          </w:tcPr>
          <w:p>
            <w:pPr>
              <w:spacing w:after="0" w:line="264"/>
            </w:pPr>
            <w:r>
              <w:rPr>
                <w:rFonts w:ascii="Calibri" w:cs="Calibri" w:eastAsia="Calibri" w:hAnsi="Calibri"/>
                <w:b/>
                <w:bCs/>
                <w:sz w:val="20"/>
                <w:szCs w:val="20"/>
              </w:rPr>
              <w:t xml:space="preserve">Filtering</w:t>
            </w:r>
          </w:p>
        </w:tc>
        <w:tc>
          <w:tcPr>
            <w:tcW w:type="dxa" w:w="3720"/>
            <w:shd w:fill="F2F5FA" w:color="auto" w:val="clear"/>
            <w:tcMar>
              <w:top w:type="dxa" w:w="90"/>
              <w:left w:type="dxa" w:w="120"/>
              <w:bottom w:type="dxa" w:w="90"/>
              <w:right w:type="dxa" w:w="120"/>
            </w:tcMar>
          </w:tcPr>
          <w:p>
            <w:pPr>
              <w:spacing w:after="0" w:line="264"/>
            </w:pPr>
            <w:r>
              <w:rPr>
                <w:rFonts w:ascii="Calibri" w:cs="Calibri" w:eastAsia="Calibri" w:hAnsi="Calibri"/>
                <w:b w:val="false"/>
                <w:bCs w:val="false"/>
                <w:sz w:val="20"/>
                <w:szCs w:val="20"/>
              </w:rPr>
              <w:t xml:space="preserve">Extensive — property type, price, beds, baths, sq ft, lot size</w:t>
            </w:r>
          </w:p>
        </w:tc>
        <w:tc>
          <w:tcPr>
            <w:tcW w:type="dxa" w:w="3240"/>
            <w:shd w:fill="F2F5FA" w:color="auto" w:val="clear"/>
            <w:tcMar>
              <w:top w:type="dxa" w:w="90"/>
              <w:left w:type="dxa" w:w="120"/>
              <w:bottom w:type="dxa" w:w="90"/>
              <w:right w:type="dxa" w:w="120"/>
            </w:tcMar>
          </w:tcPr>
          <w:p>
            <w:pPr>
              <w:spacing w:after="0" w:line="264"/>
            </w:pPr>
            <w:r>
              <w:rPr>
                <w:rFonts w:ascii="Calibri" w:cs="Calibri" w:eastAsia="Calibri" w:hAnsi="Calibri"/>
                <w:b w:val="false"/>
                <w:bCs w:val="false"/>
                <w:sz w:val="20"/>
                <w:szCs w:val="20"/>
              </w:rPr>
              <w:t xml:space="preserve">Focused on market indicators</w:t>
            </w:r>
          </w:p>
        </w:tc>
      </w:tr>
      <w:tr>
        <w:tc>
          <w:tcPr>
            <w:tcW w:type="dxa" w:w="2400"/>
            <w:tcMar>
              <w:top w:type="dxa" w:w="90"/>
              <w:left w:type="dxa" w:w="120"/>
              <w:bottom w:type="dxa" w:w="90"/>
              <w:right w:type="dxa" w:w="120"/>
            </w:tcMar>
          </w:tcPr>
          <w:p>
            <w:pPr>
              <w:spacing w:after="0" w:line="264"/>
            </w:pPr>
            <w:r>
              <w:rPr>
                <w:rFonts w:ascii="Calibri" w:cs="Calibri" w:eastAsia="Calibri" w:hAnsi="Calibri"/>
                <w:b/>
                <w:bCs/>
                <w:sz w:val="20"/>
                <w:szCs w:val="20"/>
              </w:rPr>
              <w:t xml:space="preserve">Custom branding</w:t>
            </w:r>
          </w:p>
        </w:tc>
        <w:tc>
          <w:tcPr>
            <w:tcW w:type="dxa" w:w="3720"/>
            <w:tcMar>
              <w:top w:type="dxa" w:w="90"/>
              <w:left w:type="dxa" w:w="120"/>
              <w:bottom w:type="dxa" w:w="90"/>
              <w:right w:type="dxa" w:w="120"/>
            </w:tcMar>
          </w:tcPr>
          <w:p>
            <w:pPr>
              <w:spacing w:after="0" w:line="264"/>
            </w:pPr>
            <w:r>
              <w:rPr>
                <w:rFonts w:ascii="Calibri" w:cs="Calibri" w:eastAsia="Calibri" w:hAnsi="Calibri"/>
                <w:b w:val="false"/>
                <w:bCs w:val="false"/>
                <w:sz w:val="20"/>
                <w:szCs w:val="20"/>
              </w:rPr>
              <w:t xml:space="preserve">Yes — headshot, company name, contact info</w:t>
            </w:r>
          </w:p>
        </w:tc>
        <w:tc>
          <w:tcPr>
            <w:tcW w:type="dxa" w:w="3240"/>
            <w:tcMar>
              <w:top w:type="dxa" w:w="90"/>
              <w:left w:type="dxa" w:w="120"/>
              <w:bottom w:type="dxa" w:w="90"/>
              <w:right w:type="dxa" w:w="120"/>
            </w:tcMar>
          </w:tcPr>
          <w:p>
            <w:pPr>
              <w:spacing w:after="0" w:line="264"/>
            </w:pPr>
            <w:r>
              <w:rPr>
                <w:rFonts w:ascii="Calibri" w:cs="Calibri" w:eastAsia="Calibri" w:hAnsi="Calibri"/>
                <w:b w:val="false"/>
                <w:bCs w:val="false"/>
                <w:sz w:val="20"/>
                <w:szCs w:val="20"/>
              </w:rPr>
              <w:t xml:space="preserve">Limited</w:t>
            </w:r>
          </w:p>
        </w:tc>
      </w:tr>
      <w:tr>
        <w:tc>
          <w:tcPr>
            <w:tcW w:type="dxa" w:w="2400"/>
            <w:shd w:fill="F2F5FA" w:color="auto" w:val="clear"/>
            <w:tcMar>
              <w:top w:type="dxa" w:w="90"/>
              <w:left w:type="dxa" w:w="120"/>
              <w:bottom w:type="dxa" w:w="90"/>
              <w:right w:type="dxa" w:w="120"/>
            </w:tcMar>
          </w:tcPr>
          <w:p>
            <w:pPr>
              <w:spacing w:after="0" w:line="264"/>
            </w:pPr>
            <w:r>
              <w:rPr>
                <w:rFonts w:ascii="Calibri" w:cs="Calibri" w:eastAsia="Calibri" w:hAnsi="Calibri"/>
                <w:b/>
                <w:bCs/>
                <w:sz w:val="20"/>
                <w:szCs w:val="20"/>
              </w:rPr>
              <w:t xml:space="preserve">Embedding charts</w:t>
            </w:r>
          </w:p>
        </w:tc>
        <w:tc>
          <w:tcPr>
            <w:tcW w:type="dxa" w:w="3720"/>
            <w:shd w:fill="F2F5FA" w:color="auto" w:val="clear"/>
            <w:tcMar>
              <w:top w:type="dxa" w:w="90"/>
              <w:left w:type="dxa" w:w="120"/>
              <w:bottom w:type="dxa" w:w="90"/>
              <w:right w:type="dxa" w:w="120"/>
            </w:tcMar>
          </w:tcPr>
          <w:p>
            <w:pPr>
              <w:spacing w:after="0" w:line="264"/>
            </w:pPr>
            <w:r>
              <w:rPr>
                <w:rFonts w:ascii="Calibri" w:cs="Calibri" w:eastAsia="Calibri" w:hAnsi="Calibri"/>
                <w:b w:val="false"/>
                <w:bCs w:val="false"/>
                <w:sz w:val="20"/>
                <w:szCs w:val="20"/>
              </w:rPr>
              <w:t xml:space="preserve">Yes — websites, blogs, social media</w:t>
            </w:r>
          </w:p>
        </w:tc>
        <w:tc>
          <w:tcPr>
            <w:tcW w:type="dxa" w:w="3240"/>
            <w:shd w:fill="F2F5FA" w:color="auto" w:val="clear"/>
            <w:tcMar>
              <w:top w:type="dxa" w:w="90"/>
              <w:left w:type="dxa" w:w="120"/>
              <w:bottom w:type="dxa" w:w="90"/>
              <w:right w:type="dxa" w:w="120"/>
            </w:tcMar>
          </w:tcPr>
          <w:p>
            <w:pPr>
              <w:spacing w:after="0" w:line="264"/>
            </w:pPr>
            <w:r>
              <w:rPr>
                <w:rFonts w:ascii="Calibri" w:cs="Calibri" w:eastAsia="Calibri" w:hAnsi="Calibri"/>
                <w:b w:val="false"/>
                <w:bCs w:val="false"/>
                <w:sz w:val="20"/>
                <w:szCs w:val="20"/>
              </w:rPr>
              <w:t xml:space="preserve">Custom charts and dashboard gauges</w:t>
            </w:r>
          </w:p>
        </w:tc>
      </w:tr>
      <w:tr>
        <w:tc>
          <w:tcPr>
            <w:tcW w:type="dxa" w:w="2400"/>
            <w:tcMar>
              <w:top w:type="dxa" w:w="90"/>
              <w:left w:type="dxa" w:w="120"/>
              <w:bottom w:type="dxa" w:w="90"/>
              <w:right w:type="dxa" w:w="120"/>
            </w:tcMar>
          </w:tcPr>
          <w:p>
            <w:pPr>
              <w:spacing w:after="0" w:line="264"/>
            </w:pPr>
            <w:r>
              <w:rPr>
                <w:rFonts w:ascii="Calibri" w:cs="Calibri" w:eastAsia="Calibri" w:hAnsi="Calibri"/>
                <w:b/>
                <w:bCs/>
                <w:sz w:val="20"/>
                <w:szCs w:val="20"/>
              </w:rPr>
              <w:t xml:space="preserve">Access</w:t>
            </w:r>
          </w:p>
        </w:tc>
        <w:tc>
          <w:tcPr>
            <w:tcW w:type="dxa" w:w="3720"/>
            <w:tcMar>
              <w:top w:type="dxa" w:w="90"/>
              <w:left w:type="dxa" w:w="120"/>
              <w:bottom w:type="dxa" w:w="90"/>
              <w:right w:type="dxa" w:w="120"/>
            </w:tcMar>
          </w:tcPr>
          <w:p>
            <w:pPr>
              <w:spacing w:after="0" w:line="264"/>
            </w:pPr>
            <w:r>
              <w:rPr>
                <w:rFonts w:ascii="Calibri" w:cs="Calibri" w:eastAsia="Calibri" w:hAnsi="Calibri"/>
                <w:b w:val="false"/>
                <w:bCs w:val="false"/>
                <w:sz w:val="20"/>
                <w:szCs w:val="20"/>
              </w:rPr>
              <w:t xml:space="preserve">Through the MLS via SSO</w:t>
            </w:r>
          </w:p>
        </w:tc>
        <w:tc>
          <w:tcPr>
            <w:tcW w:type="dxa" w:w="3240"/>
            <w:tcMar>
              <w:top w:type="dxa" w:w="90"/>
              <w:left w:type="dxa" w:w="120"/>
              <w:bottom w:type="dxa" w:w="90"/>
              <w:right w:type="dxa" w:w="120"/>
            </w:tcMar>
          </w:tcPr>
          <w:p>
            <w:pPr>
              <w:spacing w:after="0" w:line="264"/>
            </w:pPr>
            <w:r>
              <w:rPr>
                <w:rFonts w:ascii="Calibri" w:cs="Calibri" w:eastAsia="Calibri" w:hAnsi="Calibri"/>
                <w:b w:val="false"/>
                <w:bCs w:val="false"/>
                <w:sz w:val="20"/>
                <w:szCs w:val="20"/>
              </w:rPr>
              <w:t xml:space="preserve">Separate SmartCharts login</w:t>
            </w:r>
          </w:p>
        </w:tc>
      </w:tr>
      <w:tr>
        <w:tc>
          <w:tcPr>
            <w:tcW w:type="dxa" w:w="2400"/>
            <w:shd w:fill="F2F5FA" w:color="auto" w:val="clear"/>
            <w:tcMar>
              <w:top w:type="dxa" w:w="90"/>
              <w:left w:type="dxa" w:w="120"/>
              <w:bottom w:type="dxa" w:w="90"/>
              <w:right w:type="dxa" w:w="120"/>
            </w:tcMar>
          </w:tcPr>
          <w:p>
            <w:pPr>
              <w:spacing w:after="0" w:line="264"/>
            </w:pPr>
            <w:r>
              <w:rPr>
                <w:rFonts w:ascii="Calibri" w:cs="Calibri" w:eastAsia="Calibri" w:hAnsi="Calibri"/>
                <w:b/>
                <w:bCs/>
                <w:sz w:val="20"/>
                <w:szCs w:val="20"/>
              </w:rPr>
              <w:t xml:space="preserve">Presentation</w:t>
            </w:r>
          </w:p>
        </w:tc>
        <w:tc>
          <w:tcPr>
            <w:tcW w:type="dxa" w:w="3720"/>
            <w:shd w:fill="F2F5FA" w:color="auto" w:val="clear"/>
            <w:tcMar>
              <w:top w:type="dxa" w:w="90"/>
              <w:left w:type="dxa" w:w="120"/>
              <w:bottom w:type="dxa" w:w="90"/>
              <w:right w:type="dxa" w:w="120"/>
            </w:tcMar>
          </w:tcPr>
          <w:p>
            <w:pPr>
              <w:spacing w:after="0" w:line="264"/>
            </w:pPr>
            <w:r>
              <w:rPr>
                <w:rFonts w:ascii="Calibri" w:cs="Calibri" w:eastAsia="Calibri" w:hAnsi="Calibri"/>
                <w:b w:val="false"/>
                <w:bCs w:val="false"/>
                <w:sz w:val="20"/>
                <w:szCs w:val="20"/>
              </w:rPr>
              <w:t xml:space="preserve">Chart-focused, built for deep analysis</w:t>
            </w:r>
          </w:p>
        </w:tc>
        <w:tc>
          <w:tcPr>
            <w:tcW w:type="dxa" w:w="3240"/>
            <w:shd w:fill="F2F5FA" w:color="auto" w:val="clear"/>
            <w:tcMar>
              <w:top w:type="dxa" w:w="90"/>
              <w:left w:type="dxa" w:w="120"/>
              <w:bottom w:type="dxa" w:w="90"/>
              <w:right w:type="dxa" w:w="120"/>
            </w:tcMar>
          </w:tcPr>
          <w:p>
            <w:pPr>
              <w:spacing w:after="0" w:line="264"/>
            </w:pPr>
            <w:r>
              <w:rPr>
                <w:rFonts w:ascii="Calibri" w:cs="Calibri" w:eastAsia="Calibri" w:hAnsi="Calibri"/>
                <w:b w:val="false"/>
                <w:bCs w:val="false"/>
                <w:sz w:val="20"/>
                <w:szCs w:val="20"/>
              </w:rPr>
              <w:t xml:space="preserve">Dashboard gauges and quick stats</w:t>
            </w:r>
          </w:p>
        </w:tc>
      </w:tr>
    </w:tbl>
    <w:p>
      <w:pPr>
        <w:spacing w:after="60"/>
      </w:pPr>
    </w:p>
    <w:p>
      <w:pPr>
        <w:pStyle w:val="Heading2"/>
        <w:pBdr>
          <w:bottom w:val="single" w:color="C9D1E0" w:sz="6" w:space="6"/>
        </w:pBdr>
        <w:spacing w:after="140" w:before="320"/>
      </w:pPr>
      <w:r>
        <w:rPr>
          <w:rFonts w:ascii="Calibri" w:cs="Calibri" w:eastAsia="Calibri" w:hAnsi="Calibri"/>
          <w:b/>
          <w:bCs/>
          <w:color w:val="1F3864"/>
          <w:sz w:val="26"/>
          <w:szCs w:val="26"/>
        </w:rPr>
        <w:t xml:space="preserve">Data and Refresh Schedule</w:t>
      </w:r>
    </w:p>
    <w:p>
      <w:pPr>
        <w:pStyle w:val="ListParagraph"/>
        <w:numPr>
          <w:ilvl w:val="0"/>
          <w:numId w:val="2"/>
        </w:numPr>
        <w:spacing w:after="90" w:line="264"/>
      </w:pPr>
      <w:r>
        <w:rPr>
          <w:rFonts w:ascii="Calibri" w:cs="Calibri" w:eastAsia="Calibri" w:hAnsi="Calibri"/>
          <w:b/>
          <w:bCs/>
          <w:i w:val="false"/>
          <w:iCs w:val="false"/>
          <w:sz w:val="21"/>
          <w:szCs w:val="21"/>
        </w:rPr>
        <w:t xml:space="preserve">InfoSparks</w:t>
      </w:r>
      <w:r>
        <w:rPr>
          <w:rFonts w:ascii="Calibri" w:cs="Calibri" w:eastAsia="Calibri" w:hAnsi="Calibri"/>
          <w:b w:val="false"/>
          <w:bCs w:val="false"/>
          <w:i w:val="false"/>
          <w:iCs w:val="false"/>
          <w:sz w:val="21"/>
          <w:szCs w:val="21"/>
        </w:rPr>
        <w:t xml:space="preserve"> data is updated nightly through the end of the prior month.</w:t>
      </w:r>
    </w:p>
    <w:p>
      <w:pPr>
        <w:pStyle w:val="ListParagraph"/>
        <w:numPr>
          <w:ilvl w:val="0"/>
          <w:numId w:val="2"/>
        </w:numPr>
        <w:spacing w:after="90" w:line="264"/>
      </w:pPr>
      <w:r>
        <w:rPr>
          <w:rFonts w:ascii="Calibri" w:cs="Calibri" w:eastAsia="Calibri" w:hAnsi="Calibri"/>
          <w:b/>
          <w:bCs/>
          <w:i w:val="false"/>
          <w:iCs w:val="false"/>
          <w:sz w:val="21"/>
          <w:szCs w:val="21"/>
        </w:rPr>
        <w:t xml:space="preserve">FastStats</w:t>
      </w:r>
      <w:r>
        <w:rPr>
          <w:rFonts w:ascii="Calibri" w:cs="Calibri" w:eastAsia="Calibri" w:hAnsi="Calibri"/>
          <w:b w:val="false"/>
          <w:bCs w:val="false"/>
          <w:i w:val="false"/>
          <w:iCs w:val="false"/>
          <w:sz w:val="21"/>
          <w:szCs w:val="21"/>
        </w:rPr>
        <w:t xml:space="preserve"> data is pulled on the </w:t>
      </w:r>
      <w:r>
        <w:rPr>
          <w:rFonts w:ascii="Calibri" w:cs="Calibri" w:eastAsia="Calibri" w:hAnsi="Calibri"/>
          <w:b/>
          <w:bCs/>
          <w:i w:val="false"/>
          <w:iCs w:val="false"/>
          <w:sz w:val="21"/>
          <w:szCs w:val="21"/>
        </w:rPr>
        <w:t xml:space="preserve">8th calendar day</w:t>
      </w:r>
      <w:r>
        <w:rPr>
          <w:rFonts w:ascii="Calibri" w:cs="Calibri" w:eastAsia="Calibri" w:hAnsi="Calibri"/>
          <w:b w:val="false"/>
          <w:bCs w:val="false"/>
          <w:i w:val="false"/>
          <w:iCs w:val="false"/>
          <w:sz w:val="21"/>
          <w:szCs w:val="21"/>
        </w:rPr>
        <w:t xml:space="preserve"> of each month and posted to your FastStats interface on the </w:t>
      </w:r>
      <w:r>
        <w:rPr>
          <w:rFonts w:ascii="Calibri" w:cs="Calibri" w:eastAsia="Calibri" w:hAnsi="Calibri"/>
          <w:b/>
          <w:bCs/>
          <w:i w:val="false"/>
          <w:iCs w:val="false"/>
          <w:sz w:val="21"/>
          <w:szCs w:val="21"/>
        </w:rPr>
        <w:t xml:space="preserve">13th calendar day</w:t>
      </w:r>
      <w:r>
        <w:rPr>
          <w:rFonts w:ascii="Calibri" w:cs="Calibri" w:eastAsia="Calibri" w:hAnsi="Calibri"/>
          <w:b w:val="false"/>
          <w:bCs w:val="false"/>
          <w:i w:val="false"/>
          <w:iCs w:val="false"/>
          <w:sz w:val="21"/>
          <w:szCs w:val="21"/>
        </w:rPr>
        <w:t xml:space="preserve">. If either day falls on a weekend or holiday, the pull and/or delivery moves to the following business day.</w:t>
      </w:r>
    </w:p>
    <w:p>
      <w:pPr>
        <w:spacing w:after="60" w:before="140" w:line="264"/>
      </w:pPr>
      <w:r>
        <w:rPr>
          <w:rFonts w:ascii="Calibri" w:cs="Calibri" w:eastAsia="Calibri" w:hAnsi="Calibri"/>
          <w:sz w:val="21"/>
          <w:szCs w:val="21"/>
        </w:rPr>
        <w:t xml:space="preserve">Numbers in InfoSparks may not match a Matrix search exactly. The tools use defined reporting rules, date ranges, status logic, and data-cleaning processes. Match your geography, property type, date range, and filters before comparing — results should be close, but they are not calculated identically.</w:t>
      </w:r>
    </w:p>
    <w:p>
      <w:pPr>
        <w:pStyle w:val="Heading2"/>
        <w:pBdr>
          <w:bottom w:val="single" w:color="C9D1E0" w:sz="6" w:space="6"/>
        </w:pBdr>
        <w:spacing w:after="140" w:before="320"/>
      </w:pPr>
      <w:r>
        <w:rPr>
          <w:rFonts w:ascii="Calibri" w:cs="Calibri" w:eastAsia="Calibri" w:hAnsi="Calibri"/>
          <w:b/>
          <w:bCs/>
          <w:color w:val="1F3864"/>
          <w:sz w:val="26"/>
          <w:szCs w:val="26"/>
        </w:rPr>
        <w:t xml:space="preserve">Help and Resources</w:t>
      </w:r>
    </w:p>
    <w:p>
      <w:pPr>
        <w:pStyle w:val="ListParagraph"/>
        <w:numPr>
          <w:ilvl w:val="0"/>
          <w:numId w:val="2"/>
        </w:numPr>
        <w:spacing w:after="90" w:line="264"/>
      </w:pPr>
      <w:r>
        <w:rPr>
          <w:rFonts w:ascii="Calibri" w:cs="Calibri" w:eastAsia="Calibri" w:hAnsi="Calibri"/>
          <w:b/>
          <w:bCs/>
          <w:i w:val="false"/>
          <w:iCs w:val="false"/>
          <w:sz w:val="21"/>
          <w:szCs w:val="21"/>
        </w:rPr>
        <w:t xml:space="preserve">MarketStats Knowledge Base (ShowingTime)</w:t>
      </w:r>
      <w:r>
        <w:rPr>
          <w:rFonts w:ascii="Calibri" w:cs="Calibri" w:eastAsia="Calibri" w:hAnsi="Calibri"/>
          <w:b w:val="false"/>
          <w:bCs w:val="false"/>
          <w:i w:val="false"/>
          <w:iCs w:val="false"/>
          <w:sz w:val="21"/>
          <w:szCs w:val="21"/>
        </w:rPr>
        <w:t xml:space="preserve"> — articles, resources, and FAQs for InfoSparks and FastStats: </w:t>
      </w:r>
      <w:hyperlink w:history="1" r:id="rIdgwdaveeglbu0mfemfpdn7">
        <w:r>
          <w:rPr>
            <w:rFonts w:ascii="Calibri" w:cs="Calibri" w:eastAsia="Calibri" w:hAnsi="Calibri"/>
            <w:color w:val="2A5DB0"/>
            <w:sz w:val="21"/>
            <w:szCs w:val="21"/>
            <w:u w:val="single"/>
          </w:rPr>
          <w:t xml:space="preserve">marketstats.uservoice.com/knowledgebase</w:t>
        </w:r>
      </w:hyperlink>
    </w:p>
    <w:p>
      <w:pPr>
        <w:pStyle w:val="ListParagraph"/>
        <w:numPr>
          <w:ilvl w:val="0"/>
          <w:numId w:val="2"/>
        </w:numPr>
        <w:spacing w:after="90" w:line="264"/>
      </w:pPr>
      <w:r>
        <w:rPr>
          <w:rFonts w:ascii="Calibri" w:cs="Calibri" w:eastAsia="Calibri" w:hAnsi="Calibri"/>
          <w:b/>
          <w:bCs/>
          <w:i w:val="false"/>
          <w:iCs w:val="false"/>
          <w:sz w:val="21"/>
          <w:szCs w:val="21"/>
        </w:rPr>
        <w:t xml:space="preserve">User Manual and in-app FAQs</w:t>
      </w:r>
      <w:r>
        <w:rPr>
          <w:rFonts w:ascii="Calibri" w:cs="Calibri" w:eastAsia="Calibri" w:hAnsi="Calibri"/>
          <w:b w:val="false"/>
          <w:bCs w:val="false"/>
          <w:i w:val="false"/>
          <w:iCs w:val="false"/>
          <w:sz w:val="21"/>
          <w:szCs w:val="21"/>
        </w:rPr>
        <w:t xml:space="preserve"> are available inside InfoSparks.</w:t>
      </w:r>
    </w:p>
    <w:p>
      <w:pPr>
        <w:pStyle w:val="ListParagraph"/>
        <w:numPr>
          <w:ilvl w:val="0"/>
          <w:numId w:val="2"/>
        </w:numPr>
        <w:spacing w:after="90" w:line="264"/>
      </w:pPr>
      <w:r>
        <w:rPr>
          <w:rFonts w:ascii="Calibri" w:cs="Calibri" w:eastAsia="Calibri" w:hAnsi="Calibri"/>
          <w:b/>
          <w:bCs/>
          <w:i w:val="false"/>
          <w:iCs w:val="false"/>
          <w:sz w:val="21"/>
          <w:szCs w:val="21"/>
        </w:rPr>
        <w:t xml:space="preserve">MarketStats Facebook Live — Wednesday, September 16, 1:00 p.m. ET</w:t>
      </w:r>
      <w:r>
        <w:rPr>
          <w:rFonts w:ascii="Calibri" w:cs="Calibri" w:eastAsia="Calibri" w:hAnsi="Calibri"/>
          <w:b w:val="false"/>
          <w:bCs w:val="false"/>
          <w:i w:val="false"/>
          <w:iCs w:val="false"/>
          <w:sz w:val="21"/>
          <w:szCs w:val="21"/>
        </w:rPr>
        <w:t xml:space="preserve">, co-hosted with ShowingTime.</w:t>
      </w:r>
    </w:p>
    <w:p>
      <w:pPr>
        <w:pStyle w:val="ListParagraph"/>
        <w:numPr>
          <w:ilvl w:val="0"/>
          <w:numId w:val="2"/>
        </w:numPr>
        <w:spacing w:after="90" w:line="264"/>
      </w:pPr>
      <w:r>
        <w:rPr>
          <w:rFonts w:ascii="Calibri" w:cs="Calibri" w:eastAsia="Calibri" w:hAnsi="Calibri"/>
          <w:b w:val="false"/>
          <w:bCs w:val="false"/>
          <w:i w:val="false"/>
          <w:iCs w:val="false"/>
          <w:sz w:val="21"/>
          <w:szCs w:val="21"/>
        </w:rPr>
        <w:t xml:space="preserve">For access or account questions, contact Stellar MLS Support.</w:t>
      </w:r>
    </w:p>
    <w:sectPr>
      <w:pgSz w:w="12240" w:h="15840" w:orient="portrait"/>
      <w:pgMar w:top="1080" w:right="1440" w:bottom="108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360" w:hanging="240"/>
      </w:pPr>
    </w:lvl>
  </w:abstractNum>
  <w:abstractNum w:abstractNumId="3" w15:restartNumberingAfterBreak="0">
    <w:multiLevelType w:val="hybridMultilevel"/>
    <w:lvl w:ilvl="0" w15:tentative="1">
      <w:start w:val="1"/>
      <w:numFmt w:val="decimal"/>
      <w:lvlText w:val="%1."/>
      <w:lvlJc w:val="left"/>
      <w:pPr>
        <w:ind w:left="360" w:hanging="240"/>
      </w:p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gwdaveeglbu0mfemfpdn7" Type="http://schemas.openxmlformats.org/officeDocument/2006/relationships/hyperlink" Target="https://marketstats.uservoice.com/knowledgebase" TargetMode="Externa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MarketStats (InfoSparks &amp; FastStats) — Now Live</dc:title>
  <dc:creator>Stellar MLS</dc:creator>
  <dc:description>Stellar MLS release notes — MarketStats launch, September 9, 2026</dc:description>
  <cp:lastModifiedBy>Un-named</cp:lastModifiedBy>
  <cp:revision>1</cp:revision>
  <dcterms:created xsi:type="dcterms:W3CDTF">2026-09-09T14:55:41.816Z</dcterms:created>
  <dcterms:modified xsi:type="dcterms:W3CDTF">2026-09-09T14:55:41.816Z</dcterms:modified>
</cp:coreProperties>
</file>

<file path=docProps/custom.xml><?xml version="1.0" encoding="utf-8"?>
<Properties xmlns="http://schemas.openxmlformats.org/officeDocument/2006/custom-properties" xmlns:vt="http://schemas.openxmlformats.org/officeDocument/2006/docPropsVTypes"/>
</file>